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27DC" w14:textId="77777777" w:rsidR="004D21A8" w:rsidRPr="004D21A8" w:rsidRDefault="00A02FF9" w:rsidP="004D21A8">
      <w:pPr>
        <w:pStyle w:val="H1NoNumb"/>
        <w:jc w:val="center"/>
      </w:pPr>
      <w:bookmarkStart w:id="0" w:name="_Toc304199309"/>
      <w:r>
        <w:br/>
      </w:r>
      <w:r>
        <w:br/>
      </w:r>
      <w:r>
        <w:br/>
      </w:r>
      <w:r w:rsidRPr="004D21A8">
        <w:t xml:space="preserve">Meeting of the </w:t>
      </w:r>
      <w:r>
        <w:t>Audit, Risk and Governance Committee</w:t>
      </w:r>
      <w:r w:rsidRPr="004D21A8">
        <w:br/>
        <w:t>(</w:t>
      </w:r>
      <w:bookmarkEnd w:id="0"/>
      <w:r w:rsidR="00AE1441">
        <w:t>17 October 2022)</w:t>
      </w:r>
    </w:p>
    <w:p w14:paraId="7DEDEA40" w14:textId="77777777" w:rsidR="00C756A1" w:rsidRDefault="00C756A1" w:rsidP="00844118">
      <w:pPr>
        <w:rPr>
          <w:b/>
          <w:szCs w:val="22"/>
        </w:rPr>
      </w:pPr>
    </w:p>
    <w:p w14:paraId="2B409675" w14:textId="77777777" w:rsidR="004D21A8" w:rsidRDefault="00A02FF9" w:rsidP="004D21A8">
      <w:pPr>
        <w:pStyle w:val="BodyText"/>
        <w:jc w:val="center"/>
      </w:pPr>
      <w:r w:rsidRPr="00D50DF0">
        <w:rPr>
          <w:b/>
        </w:rPr>
        <w:t>Chair:</w:t>
      </w:r>
      <w:r>
        <w:t xml:space="preserve"> </w:t>
      </w:r>
      <w:r w:rsidR="00AE1441">
        <w:t>County Councillor Alan Schofield</w:t>
      </w:r>
    </w:p>
    <w:p w14:paraId="67D8CE0F" w14:textId="77777777" w:rsidR="004D21A8" w:rsidRDefault="004D21A8" w:rsidP="004D21A8">
      <w:pPr>
        <w:pStyle w:val="BodyText"/>
      </w:pPr>
    </w:p>
    <w:p w14:paraId="03660133" w14:textId="77777777" w:rsidR="004D21A8" w:rsidRDefault="00A02FF9" w:rsidP="004D21A8">
      <w:pPr>
        <w:pStyle w:val="H2NoNumb"/>
        <w:spacing w:before="0"/>
      </w:pPr>
      <w:r>
        <w:t>Part I (Open to Press and Public)</w:t>
      </w:r>
    </w:p>
    <w:p w14:paraId="7B48BCA4" w14:textId="77777777" w:rsidR="004D21A8" w:rsidRDefault="004D21A8" w:rsidP="004D21A8">
      <w:pPr>
        <w:pStyle w:val="BodyText"/>
      </w:pPr>
    </w:p>
    <w:p w14:paraId="3079EBD8" w14:textId="77777777" w:rsidR="00AE1441" w:rsidRDefault="00A02FF9" w:rsidP="00AE1441">
      <w:pPr>
        <w:jc w:val="both"/>
        <w:rPr>
          <w:rFonts w:cs="Arial"/>
          <w:b/>
          <w:bCs w:val="0"/>
        </w:rPr>
      </w:pPr>
      <w:r>
        <w:rPr>
          <w:rFonts w:cs="Arial"/>
          <w:b/>
        </w:rPr>
        <w:t>External Audit: Lancashire County Council Audit Findings Report 2021/22</w:t>
      </w:r>
    </w:p>
    <w:p w14:paraId="50599882" w14:textId="77777777" w:rsidR="00AE1441" w:rsidRDefault="00AE1441" w:rsidP="00AE1441">
      <w:pPr>
        <w:jc w:val="both"/>
        <w:rPr>
          <w:rFonts w:cs="Arial"/>
        </w:rPr>
      </w:pPr>
    </w:p>
    <w:p w14:paraId="183C814E" w14:textId="77777777" w:rsidR="00AE1441" w:rsidRDefault="00A02FF9" w:rsidP="00AE1441">
      <w:pPr>
        <w:jc w:val="both"/>
        <w:rPr>
          <w:rFonts w:cs="Arial"/>
        </w:rPr>
      </w:pPr>
      <w:r>
        <w:rPr>
          <w:rFonts w:cs="Arial"/>
        </w:rPr>
        <w:t xml:space="preserve">The committee </w:t>
      </w:r>
      <w:r>
        <w:rPr>
          <w:rFonts w:cs="Arial"/>
        </w:rPr>
        <w:t>considered the Audit Findings Report for Lancashire County Council presented by Sarah Ironmonger, Partner at Grant Thornton UK.</w:t>
      </w:r>
    </w:p>
    <w:p w14:paraId="64394B26" w14:textId="77777777" w:rsidR="00AE1441" w:rsidRDefault="00AE1441" w:rsidP="00AE1441">
      <w:pPr>
        <w:jc w:val="both"/>
        <w:rPr>
          <w:rFonts w:cs="Arial"/>
        </w:rPr>
      </w:pPr>
    </w:p>
    <w:p w14:paraId="0504EB64" w14:textId="77777777" w:rsidR="00AE1441" w:rsidRPr="000A53CE" w:rsidRDefault="00A02FF9" w:rsidP="00AE1441">
      <w:pPr>
        <w:jc w:val="both"/>
        <w:rPr>
          <w:rFonts w:cs="Arial"/>
        </w:rPr>
      </w:pPr>
      <w:r w:rsidRPr="000A53CE">
        <w:rPr>
          <w:rFonts w:cs="Arial"/>
          <w:b/>
        </w:rPr>
        <w:t>Resolved:</w:t>
      </w:r>
      <w:r w:rsidRPr="000A53CE">
        <w:rPr>
          <w:rFonts w:cs="Arial"/>
        </w:rPr>
        <w:t xml:space="preserve"> That the following be noted:</w:t>
      </w:r>
    </w:p>
    <w:p w14:paraId="28C71519" w14:textId="77777777" w:rsidR="00AE1441" w:rsidRPr="000A53CE" w:rsidRDefault="00AE1441" w:rsidP="00AE1441">
      <w:pPr>
        <w:jc w:val="both"/>
        <w:rPr>
          <w:rFonts w:cs="Arial"/>
        </w:rPr>
      </w:pPr>
    </w:p>
    <w:p w14:paraId="78813BA4" w14:textId="77777777" w:rsidR="00AE1441" w:rsidRDefault="00A02FF9" w:rsidP="00AE1441">
      <w:pPr>
        <w:pStyle w:val="ListParagraph"/>
        <w:numPr>
          <w:ilvl w:val="0"/>
          <w:numId w:val="5"/>
        </w:numPr>
        <w:spacing w:after="0"/>
        <w:jc w:val="both"/>
        <w:rPr>
          <w:rFonts w:ascii="Arial" w:hAnsi="Arial" w:cs="Arial"/>
          <w:sz w:val="24"/>
          <w:szCs w:val="24"/>
        </w:rPr>
      </w:pPr>
      <w:r w:rsidRPr="000A53CE">
        <w:rPr>
          <w:rFonts w:ascii="Arial" w:hAnsi="Arial" w:cs="Arial"/>
          <w:sz w:val="24"/>
          <w:szCs w:val="24"/>
        </w:rPr>
        <w:t>The Lancashire County Council Audit Findings Report 2021/22; and</w:t>
      </w:r>
    </w:p>
    <w:p w14:paraId="10DA016F" w14:textId="77777777" w:rsidR="00AE1441" w:rsidRDefault="00AE1441" w:rsidP="00AE1441">
      <w:pPr>
        <w:pStyle w:val="ListParagraph"/>
        <w:spacing w:after="0"/>
        <w:jc w:val="both"/>
        <w:rPr>
          <w:rFonts w:ascii="Arial" w:hAnsi="Arial" w:cs="Arial"/>
          <w:sz w:val="24"/>
          <w:szCs w:val="24"/>
        </w:rPr>
      </w:pPr>
    </w:p>
    <w:p w14:paraId="1675C6BC" w14:textId="77777777" w:rsidR="00AE1441" w:rsidRDefault="00A02FF9" w:rsidP="00AE1441">
      <w:pPr>
        <w:pStyle w:val="ListParagraph"/>
        <w:numPr>
          <w:ilvl w:val="0"/>
          <w:numId w:val="5"/>
        </w:numPr>
        <w:spacing w:after="0"/>
        <w:jc w:val="both"/>
        <w:rPr>
          <w:rFonts w:ascii="Arial" w:hAnsi="Arial" w:cs="Arial"/>
          <w:sz w:val="24"/>
          <w:szCs w:val="24"/>
        </w:rPr>
      </w:pPr>
      <w:r w:rsidRPr="000A53CE">
        <w:rPr>
          <w:rFonts w:ascii="Arial" w:hAnsi="Arial" w:cs="Arial"/>
          <w:sz w:val="24"/>
          <w:szCs w:val="24"/>
        </w:rPr>
        <w:t>That an updated Audit</w:t>
      </w:r>
      <w:r w:rsidRPr="000A53CE">
        <w:rPr>
          <w:rFonts w:ascii="Arial" w:hAnsi="Arial" w:cs="Arial"/>
          <w:sz w:val="24"/>
          <w:szCs w:val="24"/>
        </w:rPr>
        <w:t xml:space="preserve"> Findings Report would be presented to the next Audit, Risk and Governance Committee meeting on January 2023.</w:t>
      </w:r>
    </w:p>
    <w:p w14:paraId="3F55D1BF" w14:textId="77777777" w:rsidR="00AE1441" w:rsidRDefault="00AE1441" w:rsidP="00AE1441">
      <w:pPr>
        <w:jc w:val="both"/>
        <w:rPr>
          <w:rFonts w:cs="Arial"/>
        </w:rPr>
      </w:pPr>
    </w:p>
    <w:p w14:paraId="5A5C4FBF" w14:textId="77777777" w:rsidR="00AE1441" w:rsidRDefault="00A02FF9" w:rsidP="00AE1441">
      <w:pPr>
        <w:jc w:val="both"/>
        <w:rPr>
          <w:rFonts w:cs="Arial"/>
          <w:b/>
          <w:bCs w:val="0"/>
        </w:rPr>
      </w:pPr>
      <w:r>
        <w:rPr>
          <w:rFonts w:cs="Arial"/>
          <w:b/>
        </w:rPr>
        <w:t>External Audit: Lancashire County Pension Fund Audit Findings Report 2021/22</w:t>
      </w:r>
    </w:p>
    <w:p w14:paraId="226C378B" w14:textId="77777777" w:rsidR="00AE1441" w:rsidRDefault="00AE1441" w:rsidP="00AE1441">
      <w:pPr>
        <w:jc w:val="both"/>
        <w:rPr>
          <w:rFonts w:cs="Arial"/>
          <w:b/>
          <w:bCs w:val="0"/>
        </w:rPr>
      </w:pPr>
    </w:p>
    <w:p w14:paraId="2C9B8B37" w14:textId="77777777" w:rsidR="00AE1441" w:rsidRDefault="00A02FF9" w:rsidP="00AE1441">
      <w:pPr>
        <w:jc w:val="both"/>
        <w:rPr>
          <w:rFonts w:cs="Arial"/>
        </w:rPr>
      </w:pPr>
      <w:r>
        <w:rPr>
          <w:rFonts w:cs="Arial"/>
        </w:rPr>
        <w:t>The committee considered the Audit Findings Report for Lancashire C</w:t>
      </w:r>
      <w:r>
        <w:rPr>
          <w:rFonts w:cs="Arial"/>
        </w:rPr>
        <w:t>ounty Pension Fund presented by Stuart Basnett, Audit Manager at Grant Thornton UK.</w:t>
      </w:r>
    </w:p>
    <w:p w14:paraId="66388DE7" w14:textId="77777777" w:rsidR="00AE1441" w:rsidRDefault="00AE1441" w:rsidP="00AE1441">
      <w:pPr>
        <w:jc w:val="both"/>
        <w:rPr>
          <w:rFonts w:cs="Arial"/>
        </w:rPr>
      </w:pPr>
    </w:p>
    <w:p w14:paraId="22A8B75A" w14:textId="77777777" w:rsidR="00AE1441" w:rsidRPr="000A53CE" w:rsidRDefault="00A02FF9" w:rsidP="00AE1441">
      <w:pPr>
        <w:jc w:val="both"/>
        <w:rPr>
          <w:rFonts w:cs="Arial"/>
          <w:bCs w:val="0"/>
        </w:rPr>
      </w:pPr>
      <w:r w:rsidRPr="000A53CE">
        <w:rPr>
          <w:rFonts w:cs="Arial"/>
          <w:b/>
        </w:rPr>
        <w:t xml:space="preserve">Resolved: </w:t>
      </w:r>
      <w:r w:rsidRPr="000A53CE">
        <w:rPr>
          <w:rFonts w:cs="Arial"/>
        </w:rPr>
        <w:t>That the following be noted:</w:t>
      </w:r>
    </w:p>
    <w:p w14:paraId="3D8EC8C5" w14:textId="77777777" w:rsidR="00AE1441" w:rsidRPr="000A53CE" w:rsidRDefault="00AE1441" w:rsidP="00AE1441">
      <w:pPr>
        <w:jc w:val="both"/>
        <w:rPr>
          <w:rFonts w:cs="Arial"/>
          <w:bCs w:val="0"/>
        </w:rPr>
      </w:pPr>
    </w:p>
    <w:p w14:paraId="29B8F593" w14:textId="77777777" w:rsidR="00AE1441" w:rsidRPr="000A53CE" w:rsidRDefault="00A02FF9" w:rsidP="00AE1441">
      <w:pPr>
        <w:numPr>
          <w:ilvl w:val="0"/>
          <w:numId w:val="6"/>
        </w:numPr>
        <w:spacing w:line="259" w:lineRule="auto"/>
        <w:jc w:val="both"/>
        <w:rPr>
          <w:rFonts w:cs="Arial"/>
          <w:bCs w:val="0"/>
        </w:rPr>
      </w:pPr>
      <w:r w:rsidRPr="000A53CE">
        <w:rPr>
          <w:rFonts w:cs="Arial"/>
        </w:rPr>
        <w:t>The Lancashire County Pension Fund Audit Findings Report 2021/22; and</w:t>
      </w:r>
    </w:p>
    <w:p w14:paraId="37B1D13C" w14:textId="77777777" w:rsidR="00AE1441" w:rsidRPr="000A53CE" w:rsidRDefault="00AE1441" w:rsidP="00AE1441">
      <w:pPr>
        <w:jc w:val="both"/>
        <w:rPr>
          <w:rFonts w:cs="Arial"/>
          <w:bCs w:val="0"/>
        </w:rPr>
      </w:pPr>
    </w:p>
    <w:p w14:paraId="3BB4B38E" w14:textId="77777777" w:rsidR="00AE1441" w:rsidRDefault="00A02FF9" w:rsidP="00AE1441">
      <w:pPr>
        <w:numPr>
          <w:ilvl w:val="0"/>
          <w:numId w:val="6"/>
        </w:numPr>
        <w:spacing w:line="259" w:lineRule="auto"/>
        <w:jc w:val="both"/>
        <w:rPr>
          <w:rFonts w:cs="Arial"/>
          <w:bCs w:val="0"/>
        </w:rPr>
      </w:pPr>
      <w:r w:rsidRPr="000A53CE">
        <w:rPr>
          <w:rFonts w:cs="Arial"/>
        </w:rPr>
        <w:t xml:space="preserve">That an updated Audit Findings Report would be </w:t>
      </w:r>
      <w:r w:rsidRPr="000A53CE">
        <w:rPr>
          <w:rFonts w:cs="Arial"/>
        </w:rPr>
        <w:t>presented to the next Audit, Risk and Governance Committee meeting on 20 January 2023.</w:t>
      </w:r>
    </w:p>
    <w:p w14:paraId="1E591060" w14:textId="77777777" w:rsidR="00AE1441" w:rsidRDefault="00AE1441" w:rsidP="00AE1441">
      <w:pPr>
        <w:jc w:val="both"/>
        <w:rPr>
          <w:rFonts w:cs="Arial"/>
          <w:bCs w:val="0"/>
        </w:rPr>
      </w:pPr>
    </w:p>
    <w:p w14:paraId="59D5F8C8" w14:textId="77777777" w:rsidR="00AE1441" w:rsidRDefault="00A02FF9" w:rsidP="00AE1441">
      <w:pPr>
        <w:jc w:val="both"/>
        <w:rPr>
          <w:rFonts w:cs="Arial"/>
          <w:b/>
        </w:rPr>
      </w:pPr>
      <w:r>
        <w:rPr>
          <w:rFonts w:cs="Arial"/>
          <w:b/>
        </w:rPr>
        <w:t>Internal Audit Progress Report</w:t>
      </w:r>
    </w:p>
    <w:p w14:paraId="00B5FC8F" w14:textId="77777777" w:rsidR="00AE1441" w:rsidRDefault="00AE1441" w:rsidP="00AE1441">
      <w:pPr>
        <w:jc w:val="both"/>
        <w:rPr>
          <w:rFonts w:cs="Arial"/>
          <w:bCs w:val="0"/>
        </w:rPr>
      </w:pPr>
    </w:p>
    <w:p w14:paraId="60A69CA4" w14:textId="77777777" w:rsidR="00AE1441" w:rsidRDefault="00A02FF9" w:rsidP="00AE1441">
      <w:pPr>
        <w:jc w:val="both"/>
        <w:rPr>
          <w:rFonts w:cs="Arial"/>
          <w:bCs w:val="0"/>
        </w:rPr>
      </w:pPr>
      <w:r>
        <w:rPr>
          <w:rFonts w:cs="Arial"/>
        </w:rPr>
        <w:t>The committee considered a report presented by Andy Dalecki, Head of Internal Audit, which provided an update on the Internal Audit Serv</w:t>
      </w:r>
      <w:r>
        <w:rPr>
          <w:rFonts w:cs="Arial"/>
        </w:rPr>
        <w:t>ice's work and outcomes for 2021/22, for the period to 26 September 2022.</w:t>
      </w:r>
    </w:p>
    <w:p w14:paraId="72D41D3D" w14:textId="77777777" w:rsidR="00AE1441" w:rsidRDefault="00AE1441" w:rsidP="00AE1441">
      <w:pPr>
        <w:jc w:val="both"/>
        <w:rPr>
          <w:rFonts w:cs="Arial"/>
          <w:bCs w:val="0"/>
        </w:rPr>
      </w:pPr>
    </w:p>
    <w:p w14:paraId="4E729469" w14:textId="77777777" w:rsidR="00AE1441" w:rsidRPr="000A53CE" w:rsidRDefault="00A02FF9" w:rsidP="00AE1441">
      <w:pPr>
        <w:jc w:val="both"/>
        <w:rPr>
          <w:rFonts w:cs="Arial"/>
          <w:bCs w:val="0"/>
        </w:rPr>
      </w:pPr>
      <w:r w:rsidRPr="000A53CE">
        <w:rPr>
          <w:rFonts w:cs="Arial"/>
          <w:b/>
        </w:rPr>
        <w:t>Resolved:</w:t>
      </w:r>
      <w:r w:rsidRPr="000A53CE">
        <w:rPr>
          <w:rFonts w:cs="Arial"/>
        </w:rPr>
        <w:t xml:space="preserve"> That the Internal Audit Progress Report be noted.</w:t>
      </w:r>
    </w:p>
    <w:p w14:paraId="1CB465AD" w14:textId="77777777" w:rsidR="00AE1441" w:rsidRDefault="00AE1441" w:rsidP="00AE1441">
      <w:pPr>
        <w:jc w:val="both"/>
        <w:rPr>
          <w:rFonts w:cs="Arial"/>
          <w:bCs w:val="0"/>
        </w:rPr>
      </w:pPr>
    </w:p>
    <w:p w14:paraId="4FAD560B" w14:textId="77777777" w:rsidR="00AE1441" w:rsidRDefault="00AE1441" w:rsidP="00AE1441">
      <w:pPr>
        <w:jc w:val="both"/>
        <w:rPr>
          <w:rFonts w:cs="Arial"/>
          <w:bCs w:val="0"/>
        </w:rPr>
      </w:pPr>
    </w:p>
    <w:p w14:paraId="47CAC6AD" w14:textId="77777777" w:rsidR="00547F47" w:rsidRDefault="00547F47" w:rsidP="00AE1441">
      <w:pPr>
        <w:jc w:val="both"/>
        <w:rPr>
          <w:rFonts w:cs="Arial"/>
          <w:bCs w:val="0"/>
        </w:rPr>
      </w:pPr>
    </w:p>
    <w:p w14:paraId="4934BD27" w14:textId="77777777" w:rsidR="00AE1441" w:rsidRDefault="00A02FF9" w:rsidP="00AE1441">
      <w:pPr>
        <w:jc w:val="both"/>
        <w:rPr>
          <w:rFonts w:cs="Arial"/>
          <w:b/>
        </w:rPr>
      </w:pPr>
      <w:r>
        <w:rPr>
          <w:rFonts w:cs="Arial"/>
          <w:b/>
        </w:rPr>
        <w:t>Anti-Fraud and Anti-Corruption Policy Documents</w:t>
      </w:r>
    </w:p>
    <w:p w14:paraId="07496700" w14:textId="77777777" w:rsidR="00AE1441" w:rsidRDefault="00AE1441" w:rsidP="00AE1441">
      <w:pPr>
        <w:jc w:val="both"/>
        <w:rPr>
          <w:rFonts w:cs="Arial"/>
          <w:bCs w:val="0"/>
        </w:rPr>
      </w:pPr>
    </w:p>
    <w:p w14:paraId="260118B5" w14:textId="77777777" w:rsidR="00AE1441" w:rsidRDefault="00A02FF9" w:rsidP="00AE1441">
      <w:pPr>
        <w:jc w:val="both"/>
        <w:rPr>
          <w:rFonts w:cs="Arial"/>
          <w:bCs w:val="0"/>
        </w:rPr>
      </w:pPr>
      <w:r>
        <w:rPr>
          <w:rFonts w:cs="Arial"/>
        </w:rPr>
        <w:t xml:space="preserve">The committee considered a report presented by Andy Dalecki, Head </w:t>
      </w:r>
      <w:r>
        <w:rPr>
          <w:rFonts w:cs="Arial"/>
        </w:rPr>
        <w:t>of Internal Audit, which set out an updated suite of anti-fraud and anti-corruption policies for the committee's approval.</w:t>
      </w:r>
    </w:p>
    <w:p w14:paraId="131DA9F4" w14:textId="77777777" w:rsidR="00AE1441" w:rsidRDefault="00AE1441" w:rsidP="00AE1441">
      <w:pPr>
        <w:jc w:val="both"/>
        <w:rPr>
          <w:rFonts w:cs="Arial"/>
          <w:bCs w:val="0"/>
        </w:rPr>
      </w:pPr>
    </w:p>
    <w:p w14:paraId="740DB314" w14:textId="77777777" w:rsidR="00AE1441" w:rsidRPr="00324A25" w:rsidRDefault="00A02FF9" w:rsidP="00AE1441">
      <w:pPr>
        <w:jc w:val="both"/>
        <w:rPr>
          <w:rFonts w:cs="Arial"/>
          <w:bCs w:val="0"/>
        </w:rPr>
      </w:pPr>
      <w:r w:rsidRPr="00324A25">
        <w:rPr>
          <w:rFonts w:cs="Arial"/>
          <w:b/>
        </w:rPr>
        <w:t xml:space="preserve">Resolved: </w:t>
      </w:r>
      <w:r w:rsidRPr="00324A25">
        <w:rPr>
          <w:rFonts w:cs="Arial"/>
        </w:rPr>
        <w:t>That</w:t>
      </w:r>
    </w:p>
    <w:p w14:paraId="4C9C045F" w14:textId="77777777" w:rsidR="00AE1441" w:rsidRPr="00324A25" w:rsidRDefault="00AE1441" w:rsidP="00AE1441">
      <w:pPr>
        <w:jc w:val="both"/>
        <w:rPr>
          <w:rFonts w:cs="Arial"/>
          <w:bCs w:val="0"/>
        </w:rPr>
      </w:pPr>
    </w:p>
    <w:p w14:paraId="18607EF7" w14:textId="77777777" w:rsidR="00AE1441" w:rsidRPr="00324A25" w:rsidRDefault="00A02FF9" w:rsidP="00AE1441">
      <w:pPr>
        <w:numPr>
          <w:ilvl w:val="0"/>
          <w:numId w:val="7"/>
        </w:numPr>
        <w:spacing w:line="259" w:lineRule="auto"/>
        <w:jc w:val="both"/>
        <w:rPr>
          <w:rFonts w:cs="Arial"/>
          <w:bCs w:val="0"/>
        </w:rPr>
      </w:pPr>
      <w:r w:rsidRPr="00324A25">
        <w:rPr>
          <w:rFonts w:cs="Arial"/>
        </w:rPr>
        <w:t>The updated Anti-Fraud, Bribery and Corruption Policy, as presented, be approved;</w:t>
      </w:r>
    </w:p>
    <w:p w14:paraId="48F38406" w14:textId="77777777" w:rsidR="00AE1441" w:rsidRPr="00324A25" w:rsidRDefault="00AE1441" w:rsidP="00AE1441">
      <w:pPr>
        <w:jc w:val="both"/>
        <w:rPr>
          <w:rFonts w:cs="Arial"/>
          <w:bCs w:val="0"/>
        </w:rPr>
      </w:pPr>
    </w:p>
    <w:p w14:paraId="411CC028" w14:textId="77777777" w:rsidR="00AE1441" w:rsidRPr="00324A25" w:rsidRDefault="00A02FF9" w:rsidP="00AE1441">
      <w:pPr>
        <w:numPr>
          <w:ilvl w:val="0"/>
          <w:numId w:val="7"/>
        </w:numPr>
        <w:spacing w:line="259" w:lineRule="auto"/>
        <w:jc w:val="both"/>
        <w:rPr>
          <w:rFonts w:cs="Arial"/>
          <w:bCs w:val="0"/>
        </w:rPr>
      </w:pPr>
      <w:r w:rsidRPr="00324A25">
        <w:rPr>
          <w:rFonts w:cs="Arial"/>
        </w:rPr>
        <w:t>The new Fraud Sanction and Prosec</w:t>
      </w:r>
      <w:r w:rsidRPr="00324A25">
        <w:rPr>
          <w:rFonts w:cs="Arial"/>
        </w:rPr>
        <w:t>ution Policy, as presented, be approved;</w:t>
      </w:r>
    </w:p>
    <w:p w14:paraId="0704A08B" w14:textId="77777777" w:rsidR="00AE1441" w:rsidRPr="00324A25" w:rsidRDefault="00AE1441" w:rsidP="00AE1441">
      <w:pPr>
        <w:jc w:val="both"/>
        <w:rPr>
          <w:rFonts w:cs="Arial"/>
          <w:bCs w:val="0"/>
        </w:rPr>
      </w:pPr>
    </w:p>
    <w:p w14:paraId="578F9816" w14:textId="77777777" w:rsidR="00AE1441" w:rsidRPr="00324A25" w:rsidRDefault="00A02FF9" w:rsidP="00AE1441">
      <w:pPr>
        <w:numPr>
          <w:ilvl w:val="0"/>
          <w:numId w:val="7"/>
        </w:numPr>
        <w:spacing w:line="259" w:lineRule="auto"/>
        <w:jc w:val="both"/>
        <w:rPr>
          <w:rFonts w:cs="Arial"/>
          <w:bCs w:val="0"/>
        </w:rPr>
      </w:pPr>
      <w:r w:rsidRPr="00324A25">
        <w:rPr>
          <w:rFonts w:cs="Arial"/>
        </w:rPr>
        <w:t>The updated Whistleblowing Policy, as presented, be approved; and</w:t>
      </w:r>
    </w:p>
    <w:p w14:paraId="3ACA688C" w14:textId="77777777" w:rsidR="00AE1441" w:rsidRPr="00324A25" w:rsidRDefault="00AE1441" w:rsidP="00AE1441">
      <w:pPr>
        <w:jc w:val="both"/>
        <w:rPr>
          <w:rFonts w:cs="Arial"/>
          <w:bCs w:val="0"/>
        </w:rPr>
      </w:pPr>
    </w:p>
    <w:p w14:paraId="02199390" w14:textId="77777777" w:rsidR="00AE1441" w:rsidRPr="00324A25" w:rsidRDefault="00A02FF9" w:rsidP="00AE1441">
      <w:pPr>
        <w:numPr>
          <w:ilvl w:val="0"/>
          <w:numId w:val="7"/>
        </w:numPr>
        <w:spacing w:line="259" w:lineRule="auto"/>
        <w:jc w:val="both"/>
        <w:rPr>
          <w:rFonts w:cs="Arial"/>
          <w:bCs w:val="0"/>
        </w:rPr>
      </w:pPr>
      <w:r w:rsidRPr="00324A25">
        <w:rPr>
          <w:rFonts w:cs="Arial"/>
        </w:rPr>
        <w:t>The updated Anti-Money Laundering Policy Statement and Strategy, as presented, be approved.</w:t>
      </w:r>
    </w:p>
    <w:p w14:paraId="2A3EA07B" w14:textId="77777777" w:rsidR="00AE1441" w:rsidRDefault="00AE1441" w:rsidP="00AE1441">
      <w:pPr>
        <w:jc w:val="both"/>
        <w:rPr>
          <w:rFonts w:cs="Arial"/>
          <w:bCs w:val="0"/>
        </w:rPr>
      </w:pPr>
    </w:p>
    <w:p w14:paraId="3F9F45C2" w14:textId="77777777" w:rsidR="00AE1441" w:rsidRDefault="00A02FF9" w:rsidP="00AE1441">
      <w:pPr>
        <w:jc w:val="both"/>
        <w:rPr>
          <w:rFonts w:cs="Arial"/>
          <w:b/>
        </w:rPr>
      </w:pPr>
      <w:r>
        <w:rPr>
          <w:rFonts w:cs="Arial"/>
          <w:b/>
        </w:rPr>
        <w:t xml:space="preserve">Corporate Risk and Opportunity Register – </w:t>
      </w:r>
      <w:r>
        <w:rPr>
          <w:rFonts w:cs="Arial"/>
          <w:b/>
        </w:rPr>
        <w:t>Quarter 2 Update</w:t>
      </w:r>
    </w:p>
    <w:p w14:paraId="5C44015C" w14:textId="77777777" w:rsidR="00AE1441" w:rsidRDefault="00AE1441" w:rsidP="00AE1441">
      <w:pPr>
        <w:jc w:val="both"/>
        <w:rPr>
          <w:rFonts w:cs="Arial"/>
          <w:bCs w:val="0"/>
        </w:rPr>
      </w:pPr>
    </w:p>
    <w:p w14:paraId="37F5171D" w14:textId="77777777" w:rsidR="00AE1441" w:rsidRDefault="00A02FF9" w:rsidP="00AE1441">
      <w:pPr>
        <w:jc w:val="both"/>
        <w:rPr>
          <w:rFonts w:cs="Arial"/>
          <w:bCs w:val="0"/>
        </w:rPr>
      </w:pPr>
      <w:r>
        <w:rPr>
          <w:rFonts w:cs="Arial"/>
        </w:rPr>
        <w:t>The committee considered the updated Corporate Risk and Opportunity Register for 2022/23, presented by Paul Bond, Head of Legal, Governance and Registrars.</w:t>
      </w:r>
    </w:p>
    <w:p w14:paraId="50849491" w14:textId="77777777" w:rsidR="00AE1441" w:rsidRDefault="00AE1441" w:rsidP="00AE1441">
      <w:pPr>
        <w:jc w:val="both"/>
        <w:rPr>
          <w:rFonts w:cs="Arial"/>
          <w:bCs w:val="0"/>
        </w:rPr>
      </w:pPr>
    </w:p>
    <w:p w14:paraId="09446123" w14:textId="77777777" w:rsidR="00AE1441" w:rsidRPr="00324A25" w:rsidRDefault="00A02FF9" w:rsidP="00AE1441">
      <w:pPr>
        <w:jc w:val="both"/>
        <w:rPr>
          <w:rFonts w:cs="Arial"/>
          <w:bCs w:val="0"/>
        </w:rPr>
      </w:pPr>
      <w:r w:rsidRPr="00324A25">
        <w:rPr>
          <w:rFonts w:cs="Arial"/>
          <w:b/>
        </w:rPr>
        <w:t xml:space="preserve">Resolved: </w:t>
      </w:r>
      <w:r w:rsidRPr="00324A25">
        <w:rPr>
          <w:rFonts w:cs="Arial"/>
        </w:rPr>
        <w:t>That</w:t>
      </w:r>
    </w:p>
    <w:p w14:paraId="1F4F22C1" w14:textId="77777777" w:rsidR="00AE1441" w:rsidRPr="00324A25" w:rsidRDefault="00AE1441" w:rsidP="00AE1441">
      <w:pPr>
        <w:jc w:val="both"/>
        <w:rPr>
          <w:rFonts w:cs="Arial"/>
          <w:bCs w:val="0"/>
        </w:rPr>
      </w:pPr>
    </w:p>
    <w:p w14:paraId="39F511F1" w14:textId="77777777" w:rsidR="00AE1441" w:rsidRPr="00324A25" w:rsidRDefault="00A02FF9" w:rsidP="00AE1441">
      <w:pPr>
        <w:numPr>
          <w:ilvl w:val="0"/>
          <w:numId w:val="8"/>
        </w:numPr>
        <w:spacing w:line="259" w:lineRule="auto"/>
        <w:jc w:val="both"/>
        <w:rPr>
          <w:rFonts w:cs="Arial"/>
          <w:bCs w:val="0"/>
        </w:rPr>
      </w:pPr>
      <w:r w:rsidRPr="00324A25">
        <w:rPr>
          <w:rFonts w:cs="Arial"/>
        </w:rPr>
        <w:t>The updated Corporate Risk and Opportunity Register be noted; and</w:t>
      </w:r>
    </w:p>
    <w:p w14:paraId="09BE1D80" w14:textId="77777777" w:rsidR="00AE1441" w:rsidRPr="00324A25" w:rsidRDefault="00AE1441" w:rsidP="00AE1441">
      <w:pPr>
        <w:jc w:val="both"/>
        <w:rPr>
          <w:rFonts w:cs="Arial"/>
          <w:bCs w:val="0"/>
        </w:rPr>
      </w:pPr>
    </w:p>
    <w:p w14:paraId="5D7E6DE5" w14:textId="77777777" w:rsidR="004D21A8" w:rsidRDefault="00A02FF9" w:rsidP="00AE1441">
      <w:pPr>
        <w:pStyle w:val="BodyText"/>
        <w:numPr>
          <w:ilvl w:val="0"/>
          <w:numId w:val="8"/>
        </w:numPr>
        <w:jc w:val="both"/>
        <w:rPr>
          <w:rFonts w:cs="Arial"/>
        </w:rPr>
      </w:pPr>
      <w:r w:rsidRPr="00324A25">
        <w:rPr>
          <w:rFonts w:cs="Arial"/>
        </w:rPr>
        <w:t>All risks with a rating of 12 or above, once the final score has been agreed between individual directorates and the Executive Management Team, be included in future Corporate Risk and Opportunity Register update reports to the committee.</w:t>
      </w:r>
    </w:p>
    <w:p w14:paraId="564AE573" w14:textId="77777777" w:rsidR="00AE1441" w:rsidRDefault="00AE1441" w:rsidP="00AE1441">
      <w:pPr>
        <w:pStyle w:val="BodyText"/>
      </w:pPr>
    </w:p>
    <w:p w14:paraId="12513EE7" w14:textId="77777777" w:rsidR="004D21A8" w:rsidRDefault="00A02FF9" w:rsidP="004D21A8">
      <w:pPr>
        <w:pStyle w:val="H2NoNumb"/>
        <w:spacing w:before="0"/>
      </w:pPr>
      <w:r>
        <w:t>Part II (Not O</w:t>
      </w:r>
      <w:r>
        <w:t>pen to Press and Public)</w:t>
      </w:r>
    </w:p>
    <w:p w14:paraId="51E6DA64" w14:textId="77777777" w:rsidR="004D21A8" w:rsidRDefault="004D21A8" w:rsidP="004D21A8">
      <w:pPr>
        <w:pStyle w:val="BodyText"/>
      </w:pPr>
    </w:p>
    <w:p w14:paraId="20550A31" w14:textId="77777777" w:rsidR="00AE1441" w:rsidRDefault="00A02FF9" w:rsidP="00AE1441">
      <w:pPr>
        <w:jc w:val="both"/>
        <w:rPr>
          <w:rFonts w:cs="Arial"/>
          <w:b/>
          <w:bCs w:val="0"/>
        </w:rPr>
      </w:pPr>
      <w:r>
        <w:rPr>
          <w:rFonts w:cs="Arial"/>
          <w:b/>
        </w:rPr>
        <w:t>Appendix 'B' to Item 8 – Corporate Risk and Opportunity Register – Quarter 2 Update</w:t>
      </w:r>
    </w:p>
    <w:p w14:paraId="7974C7CC" w14:textId="77777777" w:rsidR="00AE1441" w:rsidRPr="00324A25" w:rsidRDefault="00AE1441" w:rsidP="00AE1441">
      <w:pPr>
        <w:jc w:val="both"/>
        <w:rPr>
          <w:rFonts w:cs="Arial"/>
        </w:rPr>
      </w:pPr>
    </w:p>
    <w:p w14:paraId="1021E0B0" w14:textId="77777777" w:rsidR="00AE1441" w:rsidRPr="00324A25" w:rsidRDefault="00A02FF9" w:rsidP="00AE1441">
      <w:pPr>
        <w:jc w:val="both"/>
        <w:rPr>
          <w:rFonts w:cs="Arial"/>
        </w:rPr>
      </w:pPr>
      <w:r w:rsidRPr="00324A25">
        <w:rPr>
          <w:rFonts w:cs="Arial"/>
        </w:rPr>
        <w:t>The committee considered the private and confidential Appendix B to Item 8 – Corporate Risk and Opportunity Register – Quarter 2 Update.</w:t>
      </w:r>
    </w:p>
    <w:p w14:paraId="7EB571E9" w14:textId="77777777" w:rsidR="00AE1441" w:rsidRPr="00324A25" w:rsidRDefault="00AE1441" w:rsidP="00AE1441">
      <w:pPr>
        <w:jc w:val="both"/>
        <w:rPr>
          <w:rFonts w:cs="Arial"/>
          <w:b/>
          <w:bCs w:val="0"/>
        </w:rPr>
      </w:pPr>
    </w:p>
    <w:p w14:paraId="11DFFDC5" w14:textId="77777777" w:rsidR="00AE1441" w:rsidRDefault="00A02FF9" w:rsidP="00AE1441">
      <w:pPr>
        <w:jc w:val="both"/>
        <w:rPr>
          <w:rFonts w:cs="Arial"/>
        </w:rPr>
      </w:pPr>
      <w:r w:rsidRPr="00324A25">
        <w:rPr>
          <w:rFonts w:cs="Arial"/>
          <w:b/>
        </w:rPr>
        <w:t>Resolve</w:t>
      </w:r>
      <w:r w:rsidRPr="00324A25">
        <w:rPr>
          <w:rFonts w:cs="Arial"/>
          <w:b/>
        </w:rPr>
        <w:t xml:space="preserve">d: </w:t>
      </w:r>
      <w:r w:rsidRPr="00324A25">
        <w:rPr>
          <w:rFonts w:cs="Arial"/>
        </w:rPr>
        <w:t>That Appendix B to Item 8 – Corporate Risk and Opportunity Register – Quarter 2 Update, be noted.</w:t>
      </w:r>
    </w:p>
    <w:p w14:paraId="59172770" w14:textId="77777777" w:rsidR="00AE1441" w:rsidRDefault="00AE1441" w:rsidP="00AE1441">
      <w:pPr>
        <w:jc w:val="both"/>
        <w:rPr>
          <w:rFonts w:cs="Arial"/>
        </w:rPr>
      </w:pPr>
    </w:p>
    <w:p w14:paraId="6850C85B" w14:textId="77777777" w:rsidR="00AE1441" w:rsidRDefault="00A02FF9" w:rsidP="00AE1441">
      <w:pPr>
        <w:jc w:val="both"/>
        <w:rPr>
          <w:rFonts w:cs="Arial"/>
          <w:b/>
          <w:bCs w:val="0"/>
        </w:rPr>
      </w:pPr>
      <w:r>
        <w:rPr>
          <w:rFonts w:cs="Arial"/>
          <w:b/>
        </w:rPr>
        <w:t>Update on the Overpayment of Salaries</w:t>
      </w:r>
    </w:p>
    <w:p w14:paraId="7E232EA3" w14:textId="77777777" w:rsidR="00AE1441" w:rsidRPr="00324A25" w:rsidRDefault="00AE1441" w:rsidP="00AE1441">
      <w:pPr>
        <w:jc w:val="both"/>
        <w:rPr>
          <w:rFonts w:cs="Arial"/>
          <w:bCs w:val="0"/>
        </w:rPr>
      </w:pPr>
    </w:p>
    <w:p w14:paraId="26C10C6B" w14:textId="77777777" w:rsidR="00AE1441" w:rsidRPr="00324A25" w:rsidRDefault="00A02FF9" w:rsidP="00AE1441">
      <w:pPr>
        <w:jc w:val="both"/>
        <w:rPr>
          <w:rFonts w:cs="Arial"/>
          <w:bCs w:val="0"/>
        </w:rPr>
      </w:pPr>
      <w:r>
        <w:rPr>
          <w:rFonts w:cs="Arial"/>
        </w:rPr>
        <w:t xml:space="preserve">The committee considered </w:t>
      </w:r>
      <w:r w:rsidRPr="00324A25">
        <w:rPr>
          <w:rFonts w:cs="Arial"/>
        </w:rPr>
        <w:t xml:space="preserve">a private and confidential report </w:t>
      </w:r>
      <w:r>
        <w:rPr>
          <w:rFonts w:cs="Arial"/>
        </w:rPr>
        <w:t xml:space="preserve">presented by Neil Kissock, Director of Finance, </w:t>
      </w:r>
      <w:r w:rsidRPr="00324A25">
        <w:rPr>
          <w:rFonts w:cs="Arial"/>
        </w:rPr>
        <w:t>which pr</w:t>
      </w:r>
      <w:r w:rsidRPr="00324A25">
        <w:rPr>
          <w:rFonts w:cs="Arial"/>
        </w:rPr>
        <w:t xml:space="preserve">ovided </w:t>
      </w:r>
      <w:r>
        <w:rPr>
          <w:rFonts w:cs="Arial"/>
        </w:rPr>
        <w:t>an</w:t>
      </w:r>
      <w:r w:rsidRPr="00324A25">
        <w:rPr>
          <w:rFonts w:cs="Arial"/>
        </w:rPr>
        <w:t xml:space="preserve"> update on </w:t>
      </w:r>
      <w:r>
        <w:rPr>
          <w:rFonts w:cs="Arial"/>
        </w:rPr>
        <w:t>the</w:t>
      </w:r>
      <w:r w:rsidRPr="00324A25">
        <w:rPr>
          <w:rFonts w:cs="Arial"/>
        </w:rPr>
        <w:t xml:space="preserve"> overpayment salaries.</w:t>
      </w:r>
    </w:p>
    <w:p w14:paraId="5706193F" w14:textId="77777777" w:rsidR="00AE1441" w:rsidRPr="00324A25" w:rsidRDefault="00AE1441" w:rsidP="00AE1441">
      <w:pPr>
        <w:jc w:val="both"/>
        <w:rPr>
          <w:rFonts w:cs="Arial"/>
          <w:bCs w:val="0"/>
        </w:rPr>
      </w:pPr>
    </w:p>
    <w:p w14:paraId="20035E74" w14:textId="77777777" w:rsidR="00547F47" w:rsidRDefault="00A02FF9" w:rsidP="00AE1441">
      <w:pPr>
        <w:jc w:val="both"/>
        <w:rPr>
          <w:rFonts w:cs="Arial"/>
          <w:bCs w:val="0"/>
        </w:rPr>
      </w:pPr>
      <w:r w:rsidRPr="00324A25">
        <w:rPr>
          <w:rFonts w:cs="Arial"/>
          <w:b/>
        </w:rPr>
        <w:lastRenderedPageBreak/>
        <w:t xml:space="preserve">Resolved: </w:t>
      </w:r>
      <w:r w:rsidRPr="00324A25">
        <w:rPr>
          <w:rFonts w:cs="Arial"/>
        </w:rPr>
        <w:t>That the report be noted.</w:t>
      </w:r>
    </w:p>
    <w:p w14:paraId="3C4B5671" w14:textId="77777777" w:rsidR="00547F47" w:rsidRDefault="00547F47" w:rsidP="00AE1441">
      <w:pPr>
        <w:jc w:val="both"/>
        <w:rPr>
          <w:rFonts w:cs="Arial"/>
          <w:bCs w:val="0"/>
        </w:rPr>
      </w:pPr>
    </w:p>
    <w:p w14:paraId="313FFFC6" w14:textId="77777777" w:rsidR="00AE1441" w:rsidRPr="00547F47" w:rsidRDefault="00A02FF9" w:rsidP="00AE1441">
      <w:pPr>
        <w:jc w:val="both"/>
        <w:rPr>
          <w:rFonts w:cs="Arial"/>
          <w:bCs w:val="0"/>
        </w:rPr>
      </w:pPr>
      <w:r>
        <w:rPr>
          <w:rFonts w:cs="Arial"/>
          <w:b/>
        </w:rPr>
        <w:t>RIPA Policy – Annual Review</w:t>
      </w:r>
    </w:p>
    <w:p w14:paraId="7F4416C8" w14:textId="77777777" w:rsidR="00AE1441" w:rsidRPr="00B60653" w:rsidRDefault="00AE1441" w:rsidP="00AE1441">
      <w:pPr>
        <w:jc w:val="both"/>
        <w:rPr>
          <w:rFonts w:cs="Arial"/>
          <w:bCs w:val="0"/>
        </w:rPr>
      </w:pPr>
    </w:p>
    <w:p w14:paraId="722AFE46" w14:textId="77777777" w:rsidR="00AE1441" w:rsidRPr="00B60653" w:rsidRDefault="00A02FF9" w:rsidP="00AE1441">
      <w:pPr>
        <w:jc w:val="both"/>
        <w:rPr>
          <w:rFonts w:cs="Arial"/>
          <w:bCs w:val="0"/>
        </w:rPr>
      </w:pPr>
      <w:r>
        <w:rPr>
          <w:rFonts w:cs="Arial"/>
        </w:rPr>
        <w:t xml:space="preserve">The committee considered a </w:t>
      </w:r>
      <w:r w:rsidRPr="00B60653">
        <w:rPr>
          <w:rFonts w:cs="Arial"/>
        </w:rPr>
        <w:t xml:space="preserve">private and confidential </w:t>
      </w:r>
      <w:r>
        <w:rPr>
          <w:rFonts w:cs="Arial"/>
        </w:rPr>
        <w:t>report</w:t>
      </w:r>
      <w:r w:rsidRPr="00B60653">
        <w:rPr>
          <w:rFonts w:cs="Arial"/>
        </w:rPr>
        <w:t xml:space="preserve"> </w:t>
      </w:r>
      <w:r>
        <w:rPr>
          <w:rFonts w:cs="Arial"/>
        </w:rPr>
        <w:t xml:space="preserve">presented by Chris Wilkinson, Trading Standards Manager, which provided </w:t>
      </w:r>
      <w:r w:rsidRPr="00B60653">
        <w:rPr>
          <w:rFonts w:cs="Arial"/>
        </w:rPr>
        <w:t xml:space="preserve">an update on the council's use of </w:t>
      </w:r>
      <w:r>
        <w:rPr>
          <w:rFonts w:cs="Arial"/>
        </w:rPr>
        <w:t>the Regulation of Investigatory Powers Act 2000 (</w:t>
      </w:r>
      <w:r w:rsidRPr="00B60653">
        <w:rPr>
          <w:rFonts w:cs="Arial"/>
        </w:rPr>
        <w:t>RIPA</w:t>
      </w:r>
      <w:r>
        <w:rPr>
          <w:rFonts w:cs="Arial"/>
        </w:rPr>
        <w:t>)</w:t>
      </w:r>
      <w:r w:rsidRPr="00B60653">
        <w:rPr>
          <w:rFonts w:cs="Arial"/>
        </w:rPr>
        <w:t xml:space="preserve"> and the council's RIPA policies for the committee's approval</w:t>
      </w:r>
      <w:r>
        <w:rPr>
          <w:rFonts w:cs="Arial"/>
        </w:rPr>
        <w:t>.</w:t>
      </w:r>
    </w:p>
    <w:p w14:paraId="7669BAF0" w14:textId="77777777" w:rsidR="00AE1441" w:rsidRPr="00B60653" w:rsidRDefault="00AE1441" w:rsidP="00AE1441">
      <w:pPr>
        <w:jc w:val="both"/>
        <w:rPr>
          <w:rFonts w:cs="Arial"/>
          <w:bCs w:val="0"/>
        </w:rPr>
      </w:pPr>
    </w:p>
    <w:p w14:paraId="51357E99" w14:textId="77777777" w:rsidR="00AE1441" w:rsidRPr="00B60653" w:rsidRDefault="00A02FF9" w:rsidP="00AE1441">
      <w:pPr>
        <w:jc w:val="both"/>
        <w:rPr>
          <w:rFonts w:cs="Arial"/>
          <w:bCs w:val="0"/>
        </w:rPr>
      </w:pPr>
      <w:r w:rsidRPr="00B60653">
        <w:rPr>
          <w:rFonts w:cs="Arial"/>
          <w:b/>
        </w:rPr>
        <w:t xml:space="preserve">Resolved: </w:t>
      </w:r>
      <w:r w:rsidRPr="00B60653">
        <w:rPr>
          <w:rFonts w:cs="Arial"/>
        </w:rPr>
        <w:t>That</w:t>
      </w:r>
    </w:p>
    <w:p w14:paraId="0C46A5B4" w14:textId="77777777" w:rsidR="00AE1441" w:rsidRPr="00B60653" w:rsidRDefault="00AE1441" w:rsidP="00AE1441">
      <w:pPr>
        <w:jc w:val="both"/>
        <w:rPr>
          <w:rFonts w:cs="Arial"/>
          <w:bCs w:val="0"/>
        </w:rPr>
      </w:pPr>
    </w:p>
    <w:p w14:paraId="0D4F9002" w14:textId="77777777" w:rsidR="00AE1441" w:rsidRPr="00B60653" w:rsidRDefault="00A02FF9" w:rsidP="00AE1441">
      <w:pPr>
        <w:numPr>
          <w:ilvl w:val="0"/>
          <w:numId w:val="9"/>
        </w:numPr>
        <w:spacing w:line="259" w:lineRule="auto"/>
        <w:jc w:val="both"/>
        <w:rPr>
          <w:rFonts w:cs="Arial"/>
          <w:bCs w:val="0"/>
        </w:rPr>
      </w:pPr>
      <w:r w:rsidRPr="00B60653">
        <w:rPr>
          <w:rFonts w:cs="Arial"/>
        </w:rPr>
        <w:t>The Corporate Po</w:t>
      </w:r>
      <w:r w:rsidRPr="00B60653">
        <w:rPr>
          <w:rFonts w:cs="Arial"/>
        </w:rPr>
        <w:t>licy and Guidance on the Regulation of Investigatory Powers Act 2022, as presented, be approved;</w:t>
      </w:r>
    </w:p>
    <w:p w14:paraId="4054573F" w14:textId="77777777" w:rsidR="00AE1441" w:rsidRPr="00B60653" w:rsidRDefault="00AE1441" w:rsidP="00AE1441">
      <w:pPr>
        <w:jc w:val="both"/>
        <w:rPr>
          <w:rFonts w:cs="Arial"/>
          <w:bCs w:val="0"/>
        </w:rPr>
      </w:pPr>
    </w:p>
    <w:p w14:paraId="7EA3E067" w14:textId="77777777" w:rsidR="00AE1441" w:rsidRDefault="00A02FF9" w:rsidP="00AE1441">
      <w:pPr>
        <w:numPr>
          <w:ilvl w:val="0"/>
          <w:numId w:val="9"/>
        </w:numPr>
        <w:spacing w:line="259" w:lineRule="auto"/>
        <w:jc w:val="both"/>
        <w:rPr>
          <w:rFonts w:cs="Arial"/>
          <w:bCs w:val="0"/>
        </w:rPr>
      </w:pPr>
      <w:r w:rsidRPr="00B60653">
        <w:rPr>
          <w:rFonts w:cs="Arial"/>
        </w:rPr>
        <w:t>The Shadow RIPA Surveillance Policy, as presented, be approved; and</w:t>
      </w:r>
    </w:p>
    <w:p w14:paraId="6FE4CB6C" w14:textId="77777777" w:rsidR="00AE1441" w:rsidRPr="009D7FF3" w:rsidRDefault="00AE1441" w:rsidP="00AE1441">
      <w:pPr>
        <w:jc w:val="both"/>
        <w:rPr>
          <w:rFonts w:cs="Arial"/>
          <w:bCs w:val="0"/>
        </w:rPr>
      </w:pPr>
    </w:p>
    <w:p w14:paraId="375CDFC0" w14:textId="77777777" w:rsidR="00AE1441" w:rsidRPr="00324A25" w:rsidRDefault="00A02FF9" w:rsidP="00AE1441">
      <w:pPr>
        <w:numPr>
          <w:ilvl w:val="0"/>
          <w:numId w:val="9"/>
        </w:numPr>
        <w:spacing w:line="259" w:lineRule="auto"/>
        <w:jc w:val="both"/>
        <w:rPr>
          <w:rFonts w:cs="Arial"/>
          <w:bCs w:val="0"/>
        </w:rPr>
      </w:pPr>
      <w:r w:rsidRPr="00B60653">
        <w:rPr>
          <w:rFonts w:cs="Arial"/>
        </w:rPr>
        <w:t>The Covert Social Networking Checks and Surveillance Policy, as presented, be approved.</w:t>
      </w:r>
    </w:p>
    <w:p w14:paraId="0100A9C9" w14:textId="77777777" w:rsidR="004D21A8" w:rsidRPr="00844118" w:rsidRDefault="004D21A8" w:rsidP="00844118"/>
    <w:sectPr w:rsidR="004D21A8" w:rsidRPr="00844118"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F408" w14:textId="77777777" w:rsidR="00000000" w:rsidRDefault="00A02FF9">
      <w:r>
        <w:separator/>
      </w:r>
    </w:p>
  </w:endnote>
  <w:endnote w:type="continuationSeparator" w:id="0">
    <w:p w14:paraId="3AFD887D" w14:textId="77777777" w:rsidR="00000000" w:rsidRDefault="00A0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6DDC" w14:textId="77777777" w:rsidR="00D74129" w:rsidRDefault="00A02FF9"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5B4BBD"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183E"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707D" w14:paraId="3FB18201" w14:textId="77777777">
      <w:tc>
        <w:tcPr>
          <w:tcW w:w="9243" w:type="dxa"/>
          <w:tcBorders>
            <w:top w:val="nil"/>
            <w:left w:val="nil"/>
            <w:bottom w:val="nil"/>
            <w:right w:val="nil"/>
          </w:tcBorders>
        </w:tcPr>
        <w:p w14:paraId="2FADF58A" w14:textId="77777777" w:rsidR="00DF043B" w:rsidRDefault="00A02FF9">
          <w:pPr>
            <w:pStyle w:val="Footer"/>
            <w:tabs>
              <w:tab w:val="clear" w:pos="4153"/>
            </w:tabs>
            <w:ind w:right="-45"/>
            <w:jc w:val="right"/>
          </w:pPr>
          <w:r>
            <w:rPr>
              <w:noProof/>
            </w:rPr>
            <w:drawing>
              <wp:anchor distT="0" distB="0" distL="114300" distR="114300" simplePos="0" relativeHeight="251658240" behindDoc="1" locked="0" layoutInCell="1" allowOverlap="1" wp14:anchorId="2C1A2629" wp14:editId="0236B03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6274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D53629"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513A"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707D" w14:paraId="75936EFB" w14:textId="77777777">
      <w:tc>
        <w:tcPr>
          <w:tcW w:w="9243" w:type="dxa"/>
          <w:tcBorders>
            <w:top w:val="nil"/>
            <w:left w:val="nil"/>
            <w:bottom w:val="nil"/>
            <w:right w:val="nil"/>
          </w:tcBorders>
        </w:tcPr>
        <w:p w14:paraId="0246EA34" w14:textId="77777777" w:rsidR="0036487C" w:rsidRDefault="0036487C" w:rsidP="004D419B">
          <w:pPr>
            <w:pStyle w:val="Footer"/>
            <w:tabs>
              <w:tab w:val="clear" w:pos="4153"/>
            </w:tabs>
            <w:ind w:right="-45"/>
            <w:jc w:val="right"/>
          </w:pPr>
        </w:p>
      </w:tc>
    </w:tr>
  </w:tbl>
  <w:p w14:paraId="341585D4" w14:textId="77777777" w:rsidR="00DF043B" w:rsidRPr="0036487C" w:rsidRDefault="00A02FF9" w:rsidP="0036487C">
    <w:pPr>
      <w:pStyle w:val="Footer"/>
    </w:pPr>
    <w:r>
      <w:rPr>
        <w:noProof/>
      </w:rPr>
      <w:drawing>
        <wp:anchor distT="0" distB="0" distL="114300" distR="114300" simplePos="0" relativeHeight="251659264" behindDoc="1" locked="0" layoutInCell="1" allowOverlap="1" wp14:anchorId="5792D503" wp14:editId="3702ACE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196206"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401D" w14:textId="77777777" w:rsidR="00000000" w:rsidRDefault="00A02FF9">
      <w:r>
        <w:separator/>
      </w:r>
    </w:p>
  </w:footnote>
  <w:footnote w:type="continuationSeparator" w:id="0">
    <w:p w14:paraId="2D497F85" w14:textId="77777777" w:rsidR="00000000" w:rsidRDefault="00A0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4D9C" w14:textId="77777777" w:rsidR="00841033" w:rsidRDefault="00A02FF9">
    <w:pPr>
      <w:pStyle w:val="Header"/>
    </w:pPr>
    <w:r>
      <w:rPr>
        <w:noProof/>
      </w:rPr>
      <w:drawing>
        <wp:anchor distT="0" distB="0" distL="114300" distR="114300" simplePos="0" relativeHeight="251660288" behindDoc="1" locked="0" layoutInCell="1" allowOverlap="1" wp14:anchorId="0711EB3F" wp14:editId="557A8024">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128384"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F6"/>
    <w:multiLevelType w:val="hybridMultilevel"/>
    <w:tmpl w:val="A56EFD4E"/>
    <w:lvl w:ilvl="0" w:tplc="FDCAEDD4">
      <w:start w:val="1"/>
      <w:numFmt w:val="lowerRoman"/>
      <w:lvlText w:val="%1)"/>
      <w:lvlJc w:val="left"/>
      <w:pPr>
        <w:ind w:left="720" w:hanging="720"/>
      </w:pPr>
      <w:rPr>
        <w:rFonts w:hint="default"/>
      </w:rPr>
    </w:lvl>
    <w:lvl w:ilvl="1" w:tplc="9790F4AC" w:tentative="1">
      <w:start w:val="1"/>
      <w:numFmt w:val="lowerLetter"/>
      <w:lvlText w:val="%2."/>
      <w:lvlJc w:val="left"/>
      <w:pPr>
        <w:ind w:left="1080" w:hanging="360"/>
      </w:pPr>
    </w:lvl>
    <w:lvl w:ilvl="2" w:tplc="1082C444" w:tentative="1">
      <w:start w:val="1"/>
      <w:numFmt w:val="lowerRoman"/>
      <w:lvlText w:val="%3."/>
      <w:lvlJc w:val="right"/>
      <w:pPr>
        <w:ind w:left="1800" w:hanging="180"/>
      </w:pPr>
    </w:lvl>
    <w:lvl w:ilvl="3" w:tplc="F10050B6" w:tentative="1">
      <w:start w:val="1"/>
      <w:numFmt w:val="decimal"/>
      <w:lvlText w:val="%4."/>
      <w:lvlJc w:val="left"/>
      <w:pPr>
        <w:ind w:left="2520" w:hanging="360"/>
      </w:pPr>
    </w:lvl>
    <w:lvl w:ilvl="4" w:tplc="BDC4A670" w:tentative="1">
      <w:start w:val="1"/>
      <w:numFmt w:val="lowerLetter"/>
      <w:lvlText w:val="%5."/>
      <w:lvlJc w:val="left"/>
      <w:pPr>
        <w:ind w:left="3240" w:hanging="360"/>
      </w:pPr>
    </w:lvl>
    <w:lvl w:ilvl="5" w:tplc="86F01F6C" w:tentative="1">
      <w:start w:val="1"/>
      <w:numFmt w:val="lowerRoman"/>
      <w:lvlText w:val="%6."/>
      <w:lvlJc w:val="right"/>
      <w:pPr>
        <w:ind w:left="3960" w:hanging="180"/>
      </w:pPr>
    </w:lvl>
    <w:lvl w:ilvl="6" w:tplc="F4D08158" w:tentative="1">
      <w:start w:val="1"/>
      <w:numFmt w:val="decimal"/>
      <w:lvlText w:val="%7."/>
      <w:lvlJc w:val="left"/>
      <w:pPr>
        <w:ind w:left="4680" w:hanging="360"/>
      </w:pPr>
    </w:lvl>
    <w:lvl w:ilvl="7" w:tplc="A7C0F2E2" w:tentative="1">
      <w:start w:val="1"/>
      <w:numFmt w:val="lowerLetter"/>
      <w:lvlText w:val="%8."/>
      <w:lvlJc w:val="left"/>
      <w:pPr>
        <w:ind w:left="5400" w:hanging="360"/>
      </w:pPr>
    </w:lvl>
    <w:lvl w:ilvl="8" w:tplc="4AFAE52C" w:tentative="1">
      <w:start w:val="1"/>
      <w:numFmt w:val="lowerRoman"/>
      <w:lvlText w:val="%9."/>
      <w:lvlJc w:val="right"/>
      <w:pPr>
        <w:ind w:left="6120" w:hanging="180"/>
      </w:pPr>
    </w:lvl>
  </w:abstractNum>
  <w:abstractNum w:abstractNumId="1"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5E40697"/>
    <w:multiLevelType w:val="hybridMultilevel"/>
    <w:tmpl w:val="613CCEFA"/>
    <w:lvl w:ilvl="0" w:tplc="65944E3A">
      <w:start w:val="1"/>
      <w:numFmt w:val="decimal"/>
      <w:lvlText w:val="%1."/>
      <w:lvlJc w:val="left"/>
      <w:pPr>
        <w:ind w:left="720" w:hanging="360"/>
      </w:pPr>
      <w:rPr>
        <w:b/>
        <w:bCs w:val="0"/>
      </w:rPr>
    </w:lvl>
    <w:lvl w:ilvl="1" w:tplc="7DFE1A8C" w:tentative="1">
      <w:start w:val="1"/>
      <w:numFmt w:val="lowerLetter"/>
      <w:lvlText w:val="%2."/>
      <w:lvlJc w:val="left"/>
      <w:pPr>
        <w:ind w:left="1440" w:hanging="360"/>
      </w:pPr>
    </w:lvl>
    <w:lvl w:ilvl="2" w:tplc="DC042516" w:tentative="1">
      <w:start w:val="1"/>
      <w:numFmt w:val="lowerRoman"/>
      <w:lvlText w:val="%3."/>
      <w:lvlJc w:val="right"/>
      <w:pPr>
        <w:ind w:left="2160" w:hanging="180"/>
      </w:pPr>
    </w:lvl>
    <w:lvl w:ilvl="3" w:tplc="0024C746" w:tentative="1">
      <w:start w:val="1"/>
      <w:numFmt w:val="decimal"/>
      <w:lvlText w:val="%4."/>
      <w:lvlJc w:val="left"/>
      <w:pPr>
        <w:ind w:left="2880" w:hanging="360"/>
      </w:pPr>
    </w:lvl>
    <w:lvl w:ilvl="4" w:tplc="819CD552" w:tentative="1">
      <w:start w:val="1"/>
      <w:numFmt w:val="lowerLetter"/>
      <w:lvlText w:val="%5."/>
      <w:lvlJc w:val="left"/>
      <w:pPr>
        <w:ind w:left="3600" w:hanging="360"/>
      </w:pPr>
    </w:lvl>
    <w:lvl w:ilvl="5" w:tplc="2B7C7FCE" w:tentative="1">
      <w:start w:val="1"/>
      <w:numFmt w:val="lowerRoman"/>
      <w:lvlText w:val="%6."/>
      <w:lvlJc w:val="right"/>
      <w:pPr>
        <w:ind w:left="4320" w:hanging="180"/>
      </w:pPr>
    </w:lvl>
    <w:lvl w:ilvl="6" w:tplc="63D8DB6E" w:tentative="1">
      <w:start w:val="1"/>
      <w:numFmt w:val="decimal"/>
      <w:lvlText w:val="%7."/>
      <w:lvlJc w:val="left"/>
      <w:pPr>
        <w:ind w:left="5040" w:hanging="360"/>
      </w:pPr>
    </w:lvl>
    <w:lvl w:ilvl="7" w:tplc="C536363E" w:tentative="1">
      <w:start w:val="1"/>
      <w:numFmt w:val="lowerLetter"/>
      <w:lvlText w:val="%8."/>
      <w:lvlJc w:val="left"/>
      <w:pPr>
        <w:ind w:left="5760" w:hanging="360"/>
      </w:pPr>
    </w:lvl>
    <w:lvl w:ilvl="8" w:tplc="796A3394" w:tentative="1">
      <w:start w:val="1"/>
      <w:numFmt w:val="lowerRoman"/>
      <w:lvlText w:val="%9."/>
      <w:lvlJc w:val="right"/>
      <w:pPr>
        <w:ind w:left="6480" w:hanging="180"/>
      </w:pPr>
    </w:lvl>
  </w:abstractNum>
  <w:abstractNum w:abstractNumId="3" w15:restartNumberingAfterBreak="0">
    <w:nsid w:val="15F8700A"/>
    <w:multiLevelType w:val="hybridMultilevel"/>
    <w:tmpl w:val="8444AA1C"/>
    <w:lvl w:ilvl="0" w:tplc="CCFA13FC">
      <w:start w:val="1"/>
      <w:numFmt w:val="lowerRoman"/>
      <w:lvlText w:val="%1)"/>
      <w:lvlJc w:val="left"/>
      <w:pPr>
        <w:ind w:left="720" w:hanging="720"/>
      </w:pPr>
      <w:rPr>
        <w:rFonts w:hint="default"/>
      </w:rPr>
    </w:lvl>
    <w:lvl w:ilvl="1" w:tplc="E7CAE064" w:tentative="1">
      <w:start w:val="1"/>
      <w:numFmt w:val="lowerLetter"/>
      <w:lvlText w:val="%2."/>
      <w:lvlJc w:val="left"/>
      <w:pPr>
        <w:ind w:left="1080" w:hanging="360"/>
      </w:pPr>
    </w:lvl>
    <w:lvl w:ilvl="2" w:tplc="0092605E" w:tentative="1">
      <w:start w:val="1"/>
      <w:numFmt w:val="lowerRoman"/>
      <w:lvlText w:val="%3."/>
      <w:lvlJc w:val="right"/>
      <w:pPr>
        <w:ind w:left="1800" w:hanging="180"/>
      </w:pPr>
    </w:lvl>
    <w:lvl w:ilvl="3" w:tplc="5CE08154" w:tentative="1">
      <w:start w:val="1"/>
      <w:numFmt w:val="decimal"/>
      <w:lvlText w:val="%4."/>
      <w:lvlJc w:val="left"/>
      <w:pPr>
        <w:ind w:left="2520" w:hanging="360"/>
      </w:pPr>
    </w:lvl>
    <w:lvl w:ilvl="4" w:tplc="0582CF38" w:tentative="1">
      <w:start w:val="1"/>
      <w:numFmt w:val="lowerLetter"/>
      <w:lvlText w:val="%5."/>
      <w:lvlJc w:val="left"/>
      <w:pPr>
        <w:ind w:left="3240" w:hanging="360"/>
      </w:pPr>
    </w:lvl>
    <w:lvl w:ilvl="5" w:tplc="351A98C6" w:tentative="1">
      <w:start w:val="1"/>
      <w:numFmt w:val="lowerRoman"/>
      <w:lvlText w:val="%6."/>
      <w:lvlJc w:val="right"/>
      <w:pPr>
        <w:ind w:left="3960" w:hanging="180"/>
      </w:pPr>
    </w:lvl>
    <w:lvl w:ilvl="6" w:tplc="7764B584" w:tentative="1">
      <w:start w:val="1"/>
      <w:numFmt w:val="decimal"/>
      <w:lvlText w:val="%7."/>
      <w:lvlJc w:val="left"/>
      <w:pPr>
        <w:ind w:left="4680" w:hanging="360"/>
      </w:pPr>
    </w:lvl>
    <w:lvl w:ilvl="7" w:tplc="3994637E" w:tentative="1">
      <w:start w:val="1"/>
      <w:numFmt w:val="lowerLetter"/>
      <w:lvlText w:val="%8."/>
      <w:lvlJc w:val="left"/>
      <w:pPr>
        <w:ind w:left="5400" w:hanging="360"/>
      </w:pPr>
    </w:lvl>
    <w:lvl w:ilvl="8" w:tplc="671030DC" w:tentative="1">
      <w:start w:val="1"/>
      <w:numFmt w:val="lowerRoman"/>
      <w:lvlText w:val="%9."/>
      <w:lvlJc w:val="right"/>
      <w:pPr>
        <w:ind w:left="6120" w:hanging="180"/>
      </w:pPr>
    </w:lvl>
  </w:abstractNum>
  <w:abstractNum w:abstractNumId="4" w15:restartNumberingAfterBreak="0">
    <w:nsid w:val="32C56DF4"/>
    <w:multiLevelType w:val="hybridMultilevel"/>
    <w:tmpl w:val="D6C6273E"/>
    <w:lvl w:ilvl="0" w:tplc="55E0069A">
      <w:start w:val="1"/>
      <w:numFmt w:val="lowerRoman"/>
      <w:lvlText w:val="%1)"/>
      <w:lvlJc w:val="left"/>
      <w:pPr>
        <w:ind w:left="720" w:hanging="720"/>
      </w:pPr>
      <w:rPr>
        <w:rFonts w:hint="default"/>
      </w:rPr>
    </w:lvl>
    <w:lvl w:ilvl="1" w:tplc="97005DD0" w:tentative="1">
      <w:start w:val="1"/>
      <w:numFmt w:val="lowerLetter"/>
      <w:lvlText w:val="%2."/>
      <w:lvlJc w:val="left"/>
      <w:pPr>
        <w:ind w:left="1080" w:hanging="360"/>
      </w:pPr>
    </w:lvl>
    <w:lvl w:ilvl="2" w:tplc="508A3B66" w:tentative="1">
      <w:start w:val="1"/>
      <w:numFmt w:val="lowerRoman"/>
      <w:lvlText w:val="%3."/>
      <w:lvlJc w:val="right"/>
      <w:pPr>
        <w:ind w:left="1800" w:hanging="180"/>
      </w:pPr>
    </w:lvl>
    <w:lvl w:ilvl="3" w:tplc="28966ED6" w:tentative="1">
      <w:start w:val="1"/>
      <w:numFmt w:val="decimal"/>
      <w:lvlText w:val="%4."/>
      <w:lvlJc w:val="left"/>
      <w:pPr>
        <w:ind w:left="2520" w:hanging="360"/>
      </w:pPr>
    </w:lvl>
    <w:lvl w:ilvl="4" w:tplc="7B1C5C40" w:tentative="1">
      <w:start w:val="1"/>
      <w:numFmt w:val="lowerLetter"/>
      <w:lvlText w:val="%5."/>
      <w:lvlJc w:val="left"/>
      <w:pPr>
        <w:ind w:left="3240" w:hanging="360"/>
      </w:pPr>
    </w:lvl>
    <w:lvl w:ilvl="5" w:tplc="6D96798C" w:tentative="1">
      <w:start w:val="1"/>
      <w:numFmt w:val="lowerRoman"/>
      <w:lvlText w:val="%6."/>
      <w:lvlJc w:val="right"/>
      <w:pPr>
        <w:ind w:left="3960" w:hanging="180"/>
      </w:pPr>
    </w:lvl>
    <w:lvl w:ilvl="6" w:tplc="7E8420FE" w:tentative="1">
      <w:start w:val="1"/>
      <w:numFmt w:val="decimal"/>
      <w:lvlText w:val="%7."/>
      <w:lvlJc w:val="left"/>
      <w:pPr>
        <w:ind w:left="4680" w:hanging="360"/>
      </w:pPr>
    </w:lvl>
    <w:lvl w:ilvl="7" w:tplc="1F2AE2A8" w:tentative="1">
      <w:start w:val="1"/>
      <w:numFmt w:val="lowerLetter"/>
      <w:lvlText w:val="%8."/>
      <w:lvlJc w:val="left"/>
      <w:pPr>
        <w:ind w:left="5400" w:hanging="360"/>
      </w:pPr>
    </w:lvl>
    <w:lvl w:ilvl="8" w:tplc="06F0765E" w:tentative="1">
      <w:start w:val="1"/>
      <w:numFmt w:val="lowerRoman"/>
      <w:lvlText w:val="%9."/>
      <w:lvlJc w:val="right"/>
      <w:pPr>
        <w:ind w:left="6120" w:hanging="180"/>
      </w:pPr>
    </w:lvl>
  </w:abstractNum>
  <w:abstractNum w:abstractNumId="5" w15:restartNumberingAfterBreak="0">
    <w:nsid w:val="3EAB5F22"/>
    <w:multiLevelType w:val="hybridMultilevel"/>
    <w:tmpl w:val="4824FB7A"/>
    <w:lvl w:ilvl="0" w:tplc="A4967856">
      <w:start w:val="1"/>
      <w:numFmt w:val="lowerRoman"/>
      <w:lvlText w:val="%1)"/>
      <w:lvlJc w:val="left"/>
      <w:pPr>
        <w:ind w:left="720" w:hanging="720"/>
      </w:pPr>
      <w:rPr>
        <w:rFonts w:hint="default"/>
      </w:rPr>
    </w:lvl>
    <w:lvl w:ilvl="1" w:tplc="E0026C9C" w:tentative="1">
      <w:start w:val="1"/>
      <w:numFmt w:val="lowerLetter"/>
      <w:lvlText w:val="%2."/>
      <w:lvlJc w:val="left"/>
      <w:pPr>
        <w:ind w:left="1080" w:hanging="360"/>
      </w:pPr>
    </w:lvl>
    <w:lvl w:ilvl="2" w:tplc="34121AF6" w:tentative="1">
      <w:start w:val="1"/>
      <w:numFmt w:val="lowerRoman"/>
      <w:lvlText w:val="%3."/>
      <w:lvlJc w:val="right"/>
      <w:pPr>
        <w:ind w:left="1800" w:hanging="180"/>
      </w:pPr>
    </w:lvl>
    <w:lvl w:ilvl="3" w:tplc="D66C74F0" w:tentative="1">
      <w:start w:val="1"/>
      <w:numFmt w:val="decimal"/>
      <w:lvlText w:val="%4."/>
      <w:lvlJc w:val="left"/>
      <w:pPr>
        <w:ind w:left="2520" w:hanging="360"/>
      </w:pPr>
    </w:lvl>
    <w:lvl w:ilvl="4" w:tplc="78B2BA80" w:tentative="1">
      <w:start w:val="1"/>
      <w:numFmt w:val="lowerLetter"/>
      <w:lvlText w:val="%5."/>
      <w:lvlJc w:val="left"/>
      <w:pPr>
        <w:ind w:left="3240" w:hanging="360"/>
      </w:pPr>
    </w:lvl>
    <w:lvl w:ilvl="5" w:tplc="572A3ABA" w:tentative="1">
      <w:start w:val="1"/>
      <w:numFmt w:val="lowerRoman"/>
      <w:lvlText w:val="%6."/>
      <w:lvlJc w:val="right"/>
      <w:pPr>
        <w:ind w:left="3960" w:hanging="180"/>
      </w:pPr>
    </w:lvl>
    <w:lvl w:ilvl="6" w:tplc="44A49BC6" w:tentative="1">
      <w:start w:val="1"/>
      <w:numFmt w:val="decimal"/>
      <w:lvlText w:val="%7."/>
      <w:lvlJc w:val="left"/>
      <w:pPr>
        <w:ind w:left="4680" w:hanging="360"/>
      </w:pPr>
    </w:lvl>
    <w:lvl w:ilvl="7" w:tplc="9FE6A71C" w:tentative="1">
      <w:start w:val="1"/>
      <w:numFmt w:val="lowerLetter"/>
      <w:lvlText w:val="%8."/>
      <w:lvlJc w:val="left"/>
      <w:pPr>
        <w:ind w:left="5400" w:hanging="360"/>
      </w:pPr>
    </w:lvl>
    <w:lvl w:ilvl="8" w:tplc="62EEA192" w:tentative="1">
      <w:start w:val="1"/>
      <w:numFmt w:val="lowerRoman"/>
      <w:lvlText w:val="%9."/>
      <w:lvlJc w:val="right"/>
      <w:pPr>
        <w:ind w:left="6120" w:hanging="180"/>
      </w:pPr>
    </w:lvl>
  </w:abstractNum>
  <w:abstractNum w:abstractNumId="6" w15:restartNumberingAfterBreak="0">
    <w:nsid w:val="620C26C7"/>
    <w:multiLevelType w:val="hybridMultilevel"/>
    <w:tmpl w:val="5600B444"/>
    <w:lvl w:ilvl="0" w:tplc="C61E1C08">
      <w:start w:val="1"/>
      <w:numFmt w:val="lowerRoman"/>
      <w:lvlText w:val="%1)"/>
      <w:lvlJc w:val="left"/>
      <w:pPr>
        <w:ind w:left="720" w:hanging="720"/>
      </w:pPr>
      <w:rPr>
        <w:rFonts w:hint="default"/>
      </w:rPr>
    </w:lvl>
    <w:lvl w:ilvl="1" w:tplc="A6CAFC64" w:tentative="1">
      <w:start w:val="1"/>
      <w:numFmt w:val="lowerLetter"/>
      <w:lvlText w:val="%2."/>
      <w:lvlJc w:val="left"/>
      <w:pPr>
        <w:ind w:left="1080" w:hanging="360"/>
      </w:pPr>
    </w:lvl>
    <w:lvl w:ilvl="2" w:tplc="1C96E8CE" w:tentative="1">
      <w:start w:val="1"/>
      <w:numFmt w:val="lowerRoman"/>
      <w:lvlText w:val="%3."/>
      <w:lvlJc w:val="right"/>
      <w:pPr>
        <w:ind w:left="1800" w:hanging="180"/>
      </w:pPr>
    </w:lvl>
    <w:lvl w:ilvl="3" w:tplc="D15A00B6" w:tentative="1">
      <w:start w:val="1"/>
      <w:numFmt w:val="decimal"/>
      <w:lvlText w:val="%4."/>
      <w:lvlJc w:val="left"/>
      <w:pPr>
        <w:ind w:left="2520" w:hanging="360"/>
      </w:pPr>
    </w:lvl>
    <w:lvl w:ilvl="4" w:tplc="C916F364" w:tentative="1">
      <w:start w:val="1"/>
      <w:numFmt w:val="lowerLetter"/>
      <w:lvlText w:val="%5."/>
      <w:lvlJc w:val="left"/>
      <w:pPr>
        <w:ind w:left="3240" w:hanging="360"/>
      </w:pPr>
    </w:lvl>
    <w:lvl w:ilvl="5" w:tplc="D812B0A6" w:tentative="1">
      <w:start w:val="1"/>
      <w:numFmt w:val="lowerRoman"/>
      <w:lvlText w:val="%6."/>
      <w:lvlJc w:val="right"/>
      <w:pPr>
        <w:ind w:left="3960" w:hanging="180"/>
      </w:pPr>
    </w:lvl>
    <w:lvl w:ilvl="6" w:tplc="51A48398" w:tentative="1">
      <w:start w:val="1"/>
      <w:numFmt w:val="decimal"/>
      <w:lvlText w:val="%7."/>
      <w:lvlJc w:val="left"/>
      <w:pPr>
        <w:ind w:left="4680" w:hanging="360"/>
      </w:pPr>
    </w:lvl>
    <w:lvl w:ilvl="7" w:tplc="E4B0DD92" w:tentative="1">
      <w:start w:val="1"/>
      <w:numFmt w:val="lowerLetter"/>
      <w:lvlText w:val="%8."/>
      <w:lvlJc w:val="left"/>
      <w:pPr>
        <w:ind w:left="5400" w:hanging="360"/>
      </w:pPr>
    </w:lvl>
    <w:lvl w:ilvl="8" w:tplc="A906C0EA" w:tentative="1">
      <w:start w:val="1"/>
      <w:numFmt w:val="lowerRoman"/>
      <w:lvlText w:val="%9."/>
      <w:lvlJc w:val="right"/>
      <w:pPr>
        <w:ind w:left="6120" w:hanging="180"/>
      </w:pPr>
    </w:lvl>
  </w:abstractNum>
  <w:abstractNum w:abstractNumId="7"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1"/>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2"/>
  </w:num>
  <w:num w:numId="5">
    <w:abstractNumId w:val="6"/>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955FB"/>
    <w:rsid w:val="000A53CE"/>
    <w:rsid w:val="000E24D7"/>
    <w:rsid w:val="00136344"/>
    <w:rsid w:val="001824B6"/>
    <w:rsid w:val="00192EE0"/>
    <w:rsid w:val="00245237"/>
    <w:rsid w:val="0026742E"/>
    <w:rsid w:val="00273AE7"/>
    <w:rsid w:val="002A44DA"/>
    <w:rsid w:val="002B01EB"/>
    <w:rsid w:val="002B7F8E"/>
    <w:rsid w:val="003032CE"/>
    <w:rsid w:val="003209AD"/>
    <w:rsid w:val="00324A25"/>
    <w:rsid w:val="003254F5"/>
    <w:rsid w:val="0036387E"/>
    <w:rsid w:val="0036487C"/>
    <w:rsid w:val="003673AB"/>
    <w:rsid w:val="003A0AFD"/>
    <w:rsid w:val="003E73EC"/>
    <w:rsid w:val="00401E99"/>
    <w:rsid w:val="0040331B"/>
    <w:rsid w:val="004227B7"/>
    <w:rsid w:val="00431C83"/>
    <w:rsid w:val="0047244C"/>
    <w:rsid w:val="0048685D"/>
    <w:rsid w:val="004B4931"/>
    <w:rsid w:val="004D21A8"/>
    <w:rsid w:val="004D419B"/>
    <w:rsid w:val="004E138E"/>
    <w:rsid w:val="004F0E44"/>
    <w:rsid w:val="005058AE"/>
    <w:rsid w:val="00547F47"/>
    <w:rsid w:val="005A350B"/>
    <w:rsid w:val="0060036F"/>
    <w:rsid w:val="00626F7D"/>
    <w:rsid w:val="00655131"/>
    <w:rsid w:val="00670BC1"/>
    <w:rsid w:val="00673CA9"/>
    <w:rsid w:val="006D4D2A"/>
    <w:rsid w:val="006D707D"/>
    <w:rsid w:val="006F0238"/>
    <w:rsid w:val="00701D64"/>
    <w:rsid w:val="00707981"/>
    <w:rsid w:val="00747906"/>
    <w:rsid w:val="00777E5E"/>
    <w:rsid w:val="00782B20"/>
    <w:rsid w:val="007C3C64"/>
    <w:rsid w:val="00804D11"/>
    <w:rsid w:val="00805829"/>
    <w:rsid w:val="00841033"/>
    <w:rsid w:val="00844118"/>
    <w:rsid w:val="00846540"/>
    <w:rsid w:val="00864579"/>
    <w:rsid w:val="0088697C"/>
    <w:rsid w:val="008B1D24"/>
    <w:rsid w:val="008E3BC3"/>
    <w:rsid w:val="008F1FD1"/>
    <w:rsid w:val="00911715"/>
    <w:rsid w:val="009D7FF3"/>
    <w:rsid w:val="00A02FF9"/>
    <w:rsid w:val="00A24E12"/>
    <w:rsid w:val="00A2745C"/>
    <w:rsid w:val="00A71CC6"/>
    <w:rsid w:val="00AD43E6"/>
    <w:rsid w:val="00AE1441"/>
    <w:rsid w:val="00AF3C5C"/>
    <w:rsid w:val="00B51A14"/>
    <w:rsid w:val="00B52950"/>
    <w:rsid w:val="00B60653"/>
    <w:rsid w:val="00BA5465"/>
    <w:rsid w:val="00BC6390"/>
    <w:rsid w:val="00C45BF7"/>
    <w:rsid w:val="00C520A5"/>
    <w:rsid w:val="00C756A1"/>
    <w:rsid w:val="00CE2C12"/>
    <w:rsid w:val="00CF7BC0"/>
    <w:rsid w:val="00D002CC"/>
    <w:rsid w:val="00D03636"/>
    <w:rsid w:val="00D50DF0"/>
    <w:rsid w:val="00D648E4"/>
    <w:rsid w:val="00D74129"/>
    <w:rsid w:val="00D7521D"/>
    <w:rsid w:val="00D7557F"/>
    <w:rsid w:val="00DA6F1A"/>
    <w:rsid w:val="00DC5683"/>
    <w:rsid w:val="00DF043B"/>
    <w:rsid w:val="00DF2594"/>
    <w:rsid w:val="00E16E4D"/>
    <w:rsid w:val="00E20250"/>
    <w:rsid w:val="00E5514B"/>
    <w:rsid w:val="00EC2716"/>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00845"/>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AE1441"/>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5</TotalTime>
  <Pages>3</Pages>
  <Words>555</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6</cp:revision>
  <cp:lastPrinted>2002-06-26T11:27:00Z</cp:lastPrinted>
  <dcterms:created xsi:type="dcterms:W3CDTF">2022-11-17T12:48:00Z</dcterms:created>
  <dcterms:modified xsi:type="dcterms:W3CDTF">2022-11-25T08:38:00Z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Audit, Risk and Governance Committee</vt:lpwstr>
  </property>
  <property fmtid="{D5CDD505-2E9C-101B-9397-08002B2CF9AE}" pid="7" name="LeadDirector">
    <vt:lpwstr>Director of Corporate Services</vt:lpwstr>
  </property>
  <property fmtid="{D5CDD505-2E9C-101B-9397-08002B2CF9AE}" pid="8" name="LeadOfficer">
    <vt:lpwstr>Hannah Race</vt:lpwstr>
  </property>
  <property fmtid="{D5CDD505-2E9C-101B-9397-08002B2CF9AE}" pid="9" name="LeadOfficerEmail">
    <vt:lpwstr>Hannah.Race@lancashire.gov.uk</vt:lpwstr>
  </property>
  <property fmtid="{D5CDD505-2E9C-101B-9397-08002B2CF9AE}" pid="10" name="LeadOfficerTel">
    <vt:lpwstr/>
  </property>
  <property fmtid="{D5CDD505-2E9C-101B-9397-08002B2CF9AE}" pid="11" name="MeetingDate">
    <vt:lpwstr>Thursday, 15 December 2022</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N/A;</vt:lpwstr>
  </property>
</Properties>
</file>